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single" w:color="CCCCCC" w:sz="6" w:space="15"/>
          <w:bottom w:val="single" w:color="CCCCCC" w:sz="6" w:space="0"/>
          <w:right w:val="single" w:color="CCCCCC" w:sz="6" w:space="6"/>
        </w:pBdr>
        <w:shd w:val="clear" w:fill="FFFFFF"/>
        <w:spacing w:before="105" w:beforeAutospacing="0" w:after="0" w:afterAutospacing="0"/>
        <w:ind w:left="45" w:right="0" w:firstLine="0"/>
        <w:jc w:val="center"/>
        <w:rPr>
          <w:rFonts w:ascii="微软雅黑" w:hAnsi="微软雅黑" w:eastAsia="微软雅黑" w:cs="微软雅黑"/>
          <w:b/>
          <w:bCs/>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kern w:val="0"/>
          <w:sz w:val="21"/>
          <w:szCs w:val="21"/>
          <w:shd w:val="clear" w:fill="FFFFFF"/>
          <w:lang w:val="en-US" w:eastAsia="zh-CN" w:bidi="ar"/>
        </w:rPr>
        <w:t>江苏常熟农商银行股份有限公司信用卡积分规则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为回馈江苏常熟农村商业银行股份有限公司（下称“本行”）信用卡用户，本行特推出信用卡积分奖励计划，具体规则如下。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微软雅黑" w:hAnsi="微软雅黑" w:eastAsia="微软雅黑" w:cs="微软雅黑"/>
          <w:i w:val="0"/>
          <w:iCs w:val="0"/>
          <w:caps w:val="0"/>
          <w:color w:val="666666"/>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一、参加资格</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（一）适用对象：本行个人信用卡（公务卡、商务通卡除外）持卡人。</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（二）持卡人如有下述任一情况的，本行有权取消其参加资格：</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1、持卡人违反信用卡章程及信用卡领用合约；</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2、账户状态不正常；</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3、违反其他相关规定的。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二、积分累计规则</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（一）本行信用卡持卡人在百货公司、餐厅、宾馆、其他零售商店刷卡消费均可累计积分。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（二）不计积分的情况：</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1、下列交易不予计算积分：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房地产类、汽车销售类、批发类、公立学校类、代扣代缴类、烟草结算款、预借现金、溢缴款领回、转账、预授权、手工调账、退货、有争议交易、网上支付、信用卡年费、循环信用利息、预借现金的手续费及利息、逾期缴款所产生的相关费用（如违约金、利息）、每期分期付款分摊本金及本行信用卡领用合约约定的其它各项手续费等。</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2、持卡人持卡至附件1列明商户刷卡消费的，不予计算积分。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商户类别以商户刷卡POS机设定的商户类别码为准，商户类别可由本行根据实际业务情况进行调整，若出现商户类别码与商户实际类别不符，请咨询商户及收单机构（即该POS机布放银行）。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三、积分计算规则：</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（一）信用卡积分包括常规积分和特殊积分。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1、常规积分：单笔刷卡消费满人民币1元的，可获得1个积分，不足1元的不得积分</w:t>
      </w:r>
      <w:r>
        <w:rPr>
          <w:rFonts w:hint="eastAsia" w:ascii="微软雅黑" w:hAnsi="微软雅黑" w:eastAsia="微软雅黑" w:cs="微软雅黑"/>
          <w:i w:val="0"/>
          <w:iCs w:val="0"/>
          <w:caps w:val="0"/>
          <w:color w:val="666666"/>
          <w:spacing w:val="0"/>
          <w:kern w:val="0"/>
          <w:sz w:val="18"/>
          <w:szCs w:val="18"/>
          <w:highlight w:val="none"/>
          <w:shd w:val="clear" w:fill="FFFFFF"/>
          <w:lang w:val="en-US" w:eastAsia="zh-CN" w:bidi="ar"/>
        </w:rPr>
        <w:t>；</w:t>
      </w:r>
      <w:bookmarkStart w:id="0" w:name="_GoBack"/>
      <w:bookmarkEnd w:id="0"/>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2、特殊积分：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  2.1双倍积分：持卡人生日当月刷卡消费专享双倍积分，白金卡、精英人生持卡人刷卡消费全年专享双倍积分。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  2.2具体规则由本行另行设置与调整。</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（二）持卡人附属卡积分并入主卡计算。</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（三）积分在交易入账日的次日生效，遇特殊情况顺延。</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（四）发生以下情形之一的，本行可扣减持卡人已有信用卡积分：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1、因消费退货或争议等原因而造成原交易金额减少的；</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2、消费行为被认定为套现或伪造的非真实交易的。</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（五）持卡人有任何虚假交易、舞弊或欺诈行为的，一经发现，所有已累计的积分将视作无效，本行保留对持卡人追究法律责任和追回已兑换礼品的权利。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四、积分有效期</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积分有效期为二年，持卡人到期续卡后积分可继续累计及兑换；持卡人注销卡片时，积分将予以清除。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b/>
          <w:bCs/>
          <w:color w:val="FF9900"/>
        </w:rPr>
      </w:pPr>
      <w:r>
        <w:rPr>
          <w:rFonts w:hint="eastAsia" w:ascii="微软雅黑" w:hAnsi="微软雅黑" w:eastAsia="微软雅黑" w:cs="微软雅黑"/>
          <w:b/>
          <w:bCs/>
          <w:i w:val="0"/>
          <w:iCs w:val="0"/>
          <w:caps w:val="0"/>
          <w:color w:val="FF9900"/>
          <w:spacing w:val="0"/>
          <w:sz w:val="18"/>
          <w:szCs w:val="18"/>
          <w:shd w:val="clear" w:fill="FFFFFF"/>
        </w:rPr>
        <w:t>五、积分查询途径</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1、信用卡对账单；</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2、本行客服电话：956020；</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3、关注并绑定“常熟农商银行信用卡”官方微信公众号；</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4、网站：本行官方网站（www.csrcbank.com）。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b/>
          <w:bCs/>
          <w:i w:val="0"/>
          <w:iCs w:val="0"/>
          <w:caps w:val="0"/>
          <w:color w:val="FF9900"/>
          <w:spacing w:val="0"/>
          <w:sz w:val="18"/>
          <w:szCs w:val="18"/>
        </w:rPr>
      </w:pPr>
      <w:r>
        <w:rPr>
          <w:rFonts w:hint="eastAsia" w:ascii="微软雅黑" w:hAnsi="微软雅黑" w:eastAsia="微软雅黑" w:cs="微软雅黑"/>
          <w:b/>
          <w:bCs/>
          <w:i w:val="0"/>
          <w:iCs w:val="0"/>
          <w:caps w:val="0"/>
          <w:color w:val="FF9900"/>
          <w:spacing w:val="0"/>
          <w:sz w:val="18"/>
          <w:szCs w:val="18"/>
          <w:shd w:val="clear" w:fill="FFFFFF"/>
        </w:rPr>
        <w:t>六、积分兑换</w:t>
      </w:r>
    </w:p>
    <w:p>
      <w:pPr>
        <w:keepNext w:val="0"/>
        <w:keepLines w:val="0"/>
        <w:widowControl/>
        <w:suppressLineNumbers w:val="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（一）兑换渠道：</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1、关注并绑定“常熟农商银行信用卡”官方微信公众号。</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（二）积分换礼规则：</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持卡人申请积分换礼的，本行对积分作相应扣减，扣减成功后礼品订单即生效且不可撤销；积分不足的，兑换申请自动取消。礼品停产而持卡人积分订单已生效的，积分退回持卡人原账户，并在下一期账单中作出说明。除礼品在配送途中发生损毁、缺失或礼品本身有质量瑕疵外，所有积分礼品均不可退换货、退款、退积分或兑换现金。部分兑换礼品数量有限，兑完为止。</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2、若换礼申请中所提交的礼品名称与兑换编号不符，以兑换编号为准。</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3、积分仅限于持卡人本人使用，不得转让，不得兑换成现金或其它费用。</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（三）若积分换礼涉及税款的，由持卡人自行承担和申报。</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（四）各项积分兑换项目、兑换标准、兑换规则均以兑换当时本行最新公告或目录为准。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FF9900"/>
          <w:spacing w:val="0"/>
          <w:sz w:val="18"/>
          <w:szCs w:val="18"/>
        </w:rPr>
      </w:pPr>
      <w:r>
        <w:rPr>
          <w:rFonts w:hint="eastAsia" w:ascii="微软雅黑" w:hAnsi="微软雅黑" w:eastAsia="微软雅黑" w:cs="微软雅黑"/>
          <w:b/>
          <w:bCs/>
          <w:i w:val="0"/>
          <w:iCs w:val="0"/>
          <w:caps w:val="0"/>
          <w:color w:val="FF9900"/>
          <w:spacing w:val="0"/>
          <w:sz w:val="18"/>
          <w:szCs w:val="18"/>
          <w:shd w:val="clear" w:fill="FFFFFF"/>
        </w:rPr>
        <w:t>七、礼品及服务质量</w:t>
      </w:r>
    </w:p>
    <w:p>
      <w:pPr>
        <w:keepNext w:val="0"/>
        <w:keepLines w:val="0"/>
        <w:widowControl/>
        <w:suppressLineNumbers w:val="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1、本行信用卡积分商城或者积分兑换活动宣传资料上所展示的积分礼品图片仅供参考，以实物为准。若同一编号的礼品有多种颜色或图案，则随机配送。</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2、根据市场变化，本行保留调整礼品及礼品兑换所需积分分数的权利。</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3、签收礼品前，持卡人应开箱验货，若发现任何质量问题或礼品缺失，可当场拒收；当场未发现问题的，可在签收日（含）起的7天内致电本行客服中心反映；超过7天不予受理。退换礼品时，持卡人应保留礼品原包装及包装内所有物件（包括内附说明书及相关文件等）。</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4、积分兑换的礼品或服务由礼品供应商提供，本行与其并无合伙、经销、代销、代理和保证的关系。如持卡人与供应商就其提供的礼品或服务质量有争议的，由礼品供应商妥善解决。本行可协助持卡人与供应商联系，但不承担任何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FF9900"/>
          <w:spacing w:val="0"/>
          <w:sz w:val="18"/>
          <w:szCs w:val="18"/>
        </w:rPr>
      </w:pPr>
      <w:r>
        <w:rPr>
          <w:rFonts w:hint="eastAsia" w:ascii="微软雅黑" w:hAnsi="微软雅黑" w:eastAsia="微软雅黑" w:cs="微软雅黑"/>
          <w:b/>
          <w:bCs/>
          <w:i w:val="0"/>
          <w:iCs w:val="0"/>
          <w:caps w:val="0"/>
          <w:color w:val="FF9900"/>
          <w:spacing w:val="0"/>
          <w:sz w:val="18"/>
          <w:szCs w:val="18"/>
          <w:shd w:val="clear" w:fill="FFFFFF"/>
        </w:rPr>
        <w:t>八、礼品配送</w:t>
      </w:r>
    </w:p>
    <w:p>
      <w:pPr>
        <w:keepNext w:val="0"/>
        <w:keepLines w:val="0"/>
        <w:widowControl/>
        <w:suppressLineNumbers w:val="0"/>
        <w:jc w:val="left"/>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1、礼品将在兑换之日起30个工作日内通过指定快递送至持卡人登记的收货地址。所有礼品务必由持卡人本人签收或指定他人代为签收（签署代收人全名）。持卡人兑换后2个月内未提出异议，则默认为礼品已送达。</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2、因联系地址、联系电话有误或无人签收、电话无人接听等情况造成的礼品配送延误由持卡人自行承担。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bCs/>
          <w:i w:val="0"/>
          <w:iCs w:val="0"/>
          <w:caps w:val="0"/>
          <w:color w:val="FF9900"/>
          <w:spacing w:val="0"/>
          <w:sz w:val="18"/>
          <w:szCs w:val="18"/>
        </w:rPr>
      </w:pPr>
      <w:r>
        <w:rPr>
          <w:rFonts w:hint="eastAsia" w:ascii="微软雅黑" w:hAnsi="微软雅黑" w:eastAsia="微软雅黑" w:cs="微软雅黑"/>
          <w:b/>
          <w:bCs/>
          <w:i w:val="0"/>
          <w:iCs w:val="0"/>
          <w:caps w:val="0"/>
          <w:color w:val="FF9900"/>
          <w:spacing w:val="0"/>
          <w:sz w:val="18"/>
          <w:szCs w:val="18"/>
          <w:shd w:val="clear" w:fill="FFFFFF"/>
        </w:rPr>
        <w:t>九、修改及终止</w:t>
      </w:r>
    </w:p>
    <w:p>
      <w:pPr>
        <w:keepNext w:val="0"/>
        <w:keepLines w:val="0"/>
        <w:widowControl/>
        <w:suppressLineNumbers w:val="0"/>
        <w:jc w:val="left"/>
        <w:rPr>
          <w:rFonts w:hint="eastAsia" w:ascii="微软雅黑" w:hAnsi="微软雅黑" w:eastAsia="微软雅黑" w:cs="微软雅黑"/>
          <w:i w:val="0"/>
          <w:iCs w:val="0"/>
          <w:caps w:val="0"/>
          <w:color w:val="666666"/>
          <w:spacing w:val="0"/>
          <w:kern w:val="0"/>
          <w:sz w:val="18"/>
          <w:szCs w:val="18"/>
          <w:shd w:val="clear" w:fill="FFFFFF"/>
          <w:lang w:val="en-US" w:eastAsia="zh-CN" w:bidi="ar"/>
        </w:rPr>
      </w:pP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本行保留对本规则作出最终解释的权利，有权在法律法规允许范围内修改本规则，包括但不限于调整或取消本积分奖励计划，并于本行官网或其他相关渠道公告后生效，本行将短信通知信用卡持卡人，敬请信用卡持卡人谅解。</w:t>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666666"/>
          <w:spacing w:val="0"/>
          <w:kern w:val="0"/>
          <w:sz w:val="18"/>
          <w:szCs w:val="18"/>
          <w:shd w:val="clear" w:fill="FFFFFF"/>
          <w:lang w:val="en-US" w:eastAsia="zh-CN" w:bidi="ar"/>
        </w:rPr>
        <w:t>本规则未尽事宜，根据本行信用卡领用合约、信用卡章程及相关法律处理。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240" w:lineRule="auto"/>
        <w:ind w:left="0" w:right="0"/>
        <w:rPr>
          <w:rFonts w:ascii="微软雅黑" w:hAnsi="微软雅黑" w:eastAsia="微软雅黑" w:cs="微软雅黑"/>
          <w:i w:val="0"/>
          <w:iCs w:val="0"/>
          <w:caps w:val="0"/>
          <w:color w:val="666666"/>
          <w:spacing w:val="0"/>
          <w:sz w:val="18"/>
          <w:szCs w:val="18"/>
        </w:rPr>
      </w:pPr>
      <w:r>
        <w:rPr>
          <w:rFonts w:ascii="微软雅黑" w:hAnsi="微软雅黑" w:eastAsia="微软雅黑" w:cs="微软雅黑"/>
          <w:i w:val="0"/>
          <w:iCs w:val="0"/>
          <w:caps w:val="0"/>
          <w:color w:val="666666"/>
          <w:spacing w:val="0"/>
          <w:sz w:val="18"/>
          <w:szCs w:val="18"/>
        </w:rPr>
        <w:t>附件一：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Lines="0" w:beforeAutospacing="0" w:afterLines="0" w:afterAutospacing="0" w:line="240" w:lineRule="auto"/>
        <w:jc w:val="left"/>
        <w:rPr>
          <w:rFonts w:hint="eastAsia" w:ascii="微软雅黑" w:hAnsi="微软雅黑" w:eastAsia="微软雅黑" w:cs="微软雅黑"/>
          <w:i w:val="0"/>
          <w:iCs w:val="0"/>
          <w:caps w:val="0"/>
          <w:color w:val="666666"/>
          <w:spacing w:val="0"/>
          <w:kern w:val="0"/>
          <w:sz w:val="18"/>
          <w:szCs w:val="18"/>
          <w:shd w:val="clear" w:fill="FFFFFF"/>
          <w:lang w:val="en-US" w:eastAsia="zh-CN" w:bidi="ar"/>
        </w:rPr>
      </w:pPr>
      <w:r>
        <w:rPr>
          <w:rFonts w:hint="eastAsia" w:ascii="微软雅黑" w:hAnsi="微软雅黑" w:eastAsia="微软雅黑" w:cs="微软雅黑"/>
          <w:i w:val="0"/>
          <w:iCs w:val="0"/>
          <w:caps w:val="0"/>
          <w:color w:val="666666"/>
          <w:spacing w:val="0"/>
          <w:sz w:val="18"/>
          <w:szCs w:val="18"/>
        </w:rPr>
        <w:t>不计积分商户类别包括但不限于：</w:t>
      </w:r>
    </w:p>
    <w:tbl>
      <w:tblPr>
        <w:tblStyle w:val="3"/>
        <w:tblpPr w:vertAnchor="text" w:horzAnchor="page" w:tblpX="1770" w:tblpY="1339"/>
        <w:tblW w:w="8389"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60"/>
        <w:gridCol w:w="68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Pr>
              <w:t>MCC</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Pr>
              <w:t>商户类别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1520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一般承包商-住宅与商业楼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4814</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电信服务，包括本地和长途电话、信用卡电话、磁卡电话和传真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4815</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月电话收费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4900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公共事业（电力、煤气、自来水、清洁服务）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5013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机动车供应及零配件（批发商）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5021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办公及商务家具（批发商）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5039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未列入其他代码的建材批发（批发商）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5044</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办公、影印及微缩摄影器材（批发商）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5045</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计算机、计算机外围设备（批发商）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5046</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未列入其他代码的商用器材（批发商）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5047</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牙科/实验室/医疗/眼科医院器材和用品（批发商）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5051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金属产品服务商和公司（批发商）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5065</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电器零件和设备（批发商）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5072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五金器材及用品（批发商）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5074</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管道和供暖设备（批发商）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文具、办公用品、复印纸和书写纸（批发商）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5122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药品、药品经营者（批发商）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5131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布料、缝纫用品和其他纺织品（批发商）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5137</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男女及儿童制服和服装（批发商）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5139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男女及儿童制服和服装（批发商）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5172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石油及石油产品（批发商）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5192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书、期刊和报纸（批发商）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5193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花木栽种用品、苗木和花卉（批发商）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5198</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油漆、清漆用品（批发商）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5271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活动房车销售商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5300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会员制批量零售店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（汽车货车经销商－新旧车的销售、服务、维修、零件及出租）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5521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（汽车货车经销商－专门从事旧车的销售、服务、维修、零件及出租）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5542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自助加油站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5551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船只经销商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5561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旅行拖车、娱乐用车销售商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5571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摩托车商店和经销商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5592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露营、房车销售商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5598</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雪车商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5599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汽车、飞行器、农用机车综合经营商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5933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当铺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5960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保险直销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5983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燃料商店—燃油，木材，煤油和液化石油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5998</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其他批发商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6010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金融机构-人工现金支付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6011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金融机构-自助终端现金支付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6013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金融类支付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6300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（保险销售、保险业和保险金）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7013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（不动产代理－房地产经纪）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7278</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购物服务及会所（贸易、经纪服务）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7995</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彩票销售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8062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公立医院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中小学校（公立）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8220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普通高校（公立）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8241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函授学校（成人教育）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8244</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商业和文秘学校（中等专业学校）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8249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贸易和职业学校（职业技能培训）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8299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其他学校和教育服务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8351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儿童保育服务（含学前教育）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8398</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不获得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8399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不获得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8641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市民、社会及友爱组织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8651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政治组织（政府机构）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8661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宗教组织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8675</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汽车协会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8699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其他会员组织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9211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法庭费用，包括赡养费和子女抚养费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9222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罚款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9223</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保释金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9311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纳税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9399</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未列入其他代码的政府服务（社会保障服务，国家强制）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9400</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使领馆收费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9402</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国家邮政服务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60"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9411</w:t>
            </w:r>
          </w:p>
        </w:tc>
        <w:tc>
          <w:tcPr>
            <w:tcW w:w="6829"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政府贷款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微软雅黑" w:hAnsi="微软雅黑" w:eastAsia="微软雅黑" w:cs="微软雅黑"/>
          <w:i w:val="0"/>
          <w:iCs w:val="0"/>
          <w:caps w:val="0"/>
          <w:color w:val="666666"/>
          <w:spacing w:val="0"/>
          <w:sz w:val="18"/>
          <w:szCs w:val="18"/>
        </w:rPr>
        <w:t> </w:t>
      </w:r>
    </w:p>
    <w:p>
      <w:pPr>
        <w:pStyle w:val="2"/>
        <w:widowControl/>
        <w:pBdr>
          <w:top w:val="none" w:color="auto" w:sz="0" w:space="0"/>
          <w:left w:val="none" w:color="auto" w:sz="0" w:space="0"/>
          <w:bottom w:val="none" w:color="auto" w:sz="0" w:space="0"/>
          <w:right w:val="none" w:color="auto" w:sz="0" w:space="0"/>
        </w:pBdr>
        <w:spacing w:beforeAutospacing="0" w:afterAutospacing="0" w:line="300" w:lineRule="atLeast"/>
        <w:ind w:firstLine="420" w:firstLineChars="0"/>
      </w:pPr>
      <w:r>
        <w:rPr>
          <w:rFonts w:hint="eastAsia" w:ascii="微软雅黑" w:hAnsi="微软雅黑" w:eastAsia="微软雅黑" w:cs="微软雅黑"/>
          <w:i w:val="0"/>
          <w:iCs w:val="0"/>
          <w:caps w:val="0"/>
          <w:color w:val="666666"/>
          <w:spacing w:val="0"/>
          <w:sz w:val="18"/>
          <w:szCs w:val="1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OTkxNmVhYWVmNjY3MGEwMzJkM2ZmM2NkNjJkZWQifQ=="/>
  </w:docVars>
  <w:rsids>
    <w:rsidRoot w:val="07DD072D"/>
    <w:rsid w:val="02A769FF"/>
    <w:rsid w:val="07DD072D"/>
    <w:rsid w:val="0C164EE6"/>
    <w:rsid w:val="0DE97719"/>
    <w:rsid w:val="1A910697"/>
    <w:rsid w:val="1DE56B7A"/>
    <w:rsid w:val="2E946505"/>
    <w:rsid w:val="4C580AF7"/>
    <w:rsid w:val="62964329"/>
    <w:rsid w:val="71D32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2022-09-22T05:49:00Z</dcterms:created>
  <dc:creator>Administrator</dc:creator>
  <cp:lastModifiedBy>crcb</cp:lastModifiedBy>
  <dcterms:modified xsi:type="dcterms:W3CDTF">2022-10-11T09:14:09Z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AF2BBFE4EBC44499BB2E4615067C0AB0</vt:lpwstr>
  </property>
</Properties>
</file>